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DE" w:rsidRDefault="00EB37DE" w:rsidP="008E593D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7520" cy="571500"/>
            <wp:effectExtent l="0" t="0" r="0" b="0"/>
            <wp:wrapTight wrapText="bothSides">
              <wp:wrapPolygon edited="0">
                <wp:start x="0" y="0"/>
                <wp:lineTo x="0" y="20880"/>
                <wp:lineTo x="20681" y="20880"/>
                <wp:lineTo x="206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03" cy="57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7DE" w:rsidRPr="00EB37DE" w:rsidRDefault="00EB37DE" w:rsidP="008E593D">
      <w:pPr>
        <w:jc w:val="center"/>
        <w:rPr>
          <w:sz w:val="20"/>
          <w:szCs w:val="20"/>
        </w:rPr>
      </w:pPr>
    </w:p>
    <w:p w:rsidR="009E68FF" w:rsidRPr="00EB37DE" w:rsidRDefault="009725E4" w:rsidP="008E593D">
      <w:pPr>
        <w:jc w:val="center"/>
        <w:rPr>
          <w:sz w:val="20"/>
          <w:szCs w:val="20"/>
        </w:rPr>
      </w:pPr>
      <w:r w:rsidRPr="00EB37DE">
        <w:rPr>
          <w:sz w:val="20"/>
          <w:szCs w:val="20"/>
        </w:rPr>
        <w:t>Northowram Primary School Attainment Trends</w:t>
      </w:r>
    </w:p>
    <w:p w:rsidR="009725E4" w:rsidRPr="00EB37DE" w:rsidRDefault="009725E4" w:rsidP="00F34D6B">
      <w:pPr>
        <w:pStyle w:val="ListParagraph"/>
        <w:rPr>
          <w:sz w:val="20"/>
          <w:szCs w:val="20"/>
        </w:rPr>
      </w:pPr>
    </w:p>
    <w:p w:rsidR="009725E4" w:rsidRPr="00EB37DE" w:rsidRDefault="009725E4" w:rsidP="00F34D6B">
      <w:pPr>
        <w:pStyle w:val="ListParagraph"/>
        <w:rPr>
          <w:b/>
          <w:sz w:val="20"/>
          <w:szCs w:val="20"/>
        </w:rPr>
      </w:pPr>
      <w:r w:rsidRPr="00EB37DE">
        <w:rPr>
          <w:b/>
          <w:sz w:val="20"/>
          <w:szCs w:val="20"/>
        </w:rPr>
        <w:t>EYFS (Early Years Foundation Stage)</w:t>
      </w:r>
    </w:p>
    <w:p w:rsidR="009725E4" w:rsidRPr="00EB37DE" w:rsidRDefault="009725E4" w:rsidP="00F34D6B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 xml:space="preserve">This table shows our trends over three years of the percentage of pupils who achieve a </w:t>
      </w:r>
      <w:r w:rsidRPr="00EB37DE">
        <w:rPr>
          <w:b/>
          <w:sz w:val="20"/>
          <w:szCs w:val="20"/>
        </w:rPr>
        <w:t>Good Level of Development</w:t>
      </w:r>
      <w:r w:rsidR="008E593D" w:rsidRPr="00EB37DE">
        <w:rPr>
          <w:sz w:val="20"/>
          <w:szCs w:val="20"/>
        </w:rPr>
        <w:t xml:space="preserve"> </w:t>
      </w:r>
      <w:r w:rsidR="008E593D" w:rsidRPr="00EB37DE">
        <w:rPr>
          <w:b/>
          <w:sz w:val="20"/>
          <w:szCs w:val="20"/>
        </w:rPr>
        <w:t>(GLD)</w:t>
      </w:r>
      <w:r w:rsidRPr="00EB37DE">
        <w:rPr>
          <w:sz w:val="20"/>
          <w:szCs w:val="20"/>
        </w:rPr>
        <w:t xml:space="preserve"> by the end of their Reception Year</w:t>
      </w:r>
      <w:r w:rsidR="008E593D" w:rsidRPr="00EB37DE">
        <w:rPr>
          <w:sz w:val="20"/>
          <w:szCs w:val="20"/>
        </w:rPr>
        <w:t>. The table compares our data to the Calderdale average figures:</w:t>
      </w:r>
    </w:p>
    <w:p w:rsidR="008E593D" w:rsidRPr="00EB37DE" w:rsidRDefault="008E593D" w:rsidP="00F34D6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1295"/>
        <w:gridCol w:w="1296"/>
        <w:gridCol w:w="1296"/>
      </w:tblGrid>
      <w:tr w:rsidR="008E593D" w:rsidRPr="00EB37DE" w:rsidTr="008E593D">
        <w:tc>
          <w:tcPr>
            <w:tcW w:w="1897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EYFS</w:t>
            </w:r>
          </w:p>
        </w:tc>
        <w:tc>
          <w:tcPr>
            <w:tcW w:w="1295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1296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1296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</w:t>
            </w:r>
          </w:p>
        </w:tc>
      </w:tr>
      <w:tr w:rsidR="008E593D" w:rsidRPr="00EB37DE" w:rsidTr="00D95015">
        <w:tc>
          <w:tcPr>
            <w:tcW w:w="1897" w:type="dxa"/>
            <w:shd w:val="clear" w:color="auto" w:fill="9CC2E5" w:themeFill="accent1" w:themeFillTint="99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1295" w:type="dxa"/>
            <w:shd w:val="clear" w:color="auto" w:fill="9CC2E5" w:themeFill="accent1" w:themeFillTint="99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86%</w:t>
            </w:r>
          </w:p>
        </w:tc>
        <w:tc>
          <w:tcPr>
            <w:tcW w:w="1296" w:type="dxa"/>
            <w:shd w:val="clear" w:color="auto" w:fill="9CC2E5" w:themeFill="accent1" w:themeFillTint="99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75%</w:t>
            </w:r>
          </w:p>
        </w:tc>
        <w:tc>
          <w:tcPr>
            <w:tcW w:w="1296" w:type="dxa"/>
            <w:shd w:val="clear" w:color="auto" w:fill="9CC2E5" w:themeFill="accent1" w:themeFillTint="99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82%*</w:t>
            </w:r>
          </w:p>
        </w:tc>
      </w:tr>
      <w:tr w:rsidR="008E593D" w:rsidRPr="00EB37DE" w:rsidTr="008E593D">
        <w:tc>
          <w:tcPr>
            <w:tcW w:w="1897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1295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70%</w:t>
            </w:r>
          </w:p>
        </w:tc>
        <w:tc>
          <w:tcPr>
            <w:tcW w:w="1296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70%</w:t>
            </w:r>
          </w:p>
        </w:tc>
        <w:tc>
          <w:tcPr>
            <w:tcW w:w="1296" w:type="dxa"/>
          </w:tcPr>
          <w:p w:rsidR="008E593D" w:rsidRPr="00EB37DE" w:rsidRDefault="008E593D" w:rsidP="00F34D6B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70%</w:t>
            </w:r>
          </w:p>
        </w:tc>
      </w:tr>
    </w:tbl>
    <w:p w:rsidR="008E593D" w:rsidRPr="00EB37DE" w:rsidRDefault="008E593D" w:rsidP="00F34D6B">
      <w:pPr>
        <w:pStyle w:val="ListParagraph"/>
        <w:rPr>
          <w:sz w:val="20"/>
          <w:szCs w:val="20"/>
        </w:rPr>
      </w:pPr>
    </w:p>
    <w:p w:rsidR="009725E4" w:rsidRPr="00EB37DE" w:rsidRDefault="008E593D" w:rsidP="008E593D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 xml:space="preserve">*Teacher assessment data based on assessments of children in March before school closure. </w:t>
      </w:r>
    </w:p>
    <w:p w:rsidR="008E593D" w:rsidRPr="00EB37DE" w:rsidRDefault="008E593D" w:rsidP="008E593D">
      <w:pPr>
        <w:pStyle w:val="ListParagraph"/>
        <w:rPr>
          <w:sz w:val="20"/>
          <w:szCs w:val="20"/>
        </w:rPr>
      </w:pPr>
    </w:p>
    <w:p w:rsidR="009725E4" w:rsidRPr="00EB37DE" w:rsidRDefault="009725E4" w:rsidP="00F34D6B">
      <w:pPr>
        <w:pStyle w:val="ListParagraph"/>
        <w:rPr>
          <w:b/>
          <w:sz w:val="20"/>
          <w:szCs w:val="20"/>
        </w:rPr>
      </w:pPr>
      <w:r w:rsidRPr="00EB37DE">
        <w:rPr>
          <w:b/>
          <w:sz w:val="20"/>
          <w:szCs w:val="20"/>
        </w:rPr>
        <w:t>Year 1 Phonics</w:t>
      </w:r>
    </w:p>
    <w:p w:rsidR="009725E4" w:rsidRPr="00EB37DE" w:rsidRDefault="009725E4" w:rsidP="004400F6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>This table shows our trends over three years of the number of pupils who pass the year one phonics screener</w:t>
      </w:r>
      <w:r w:rsidR="00EB37DE" w:rsidRPr="00EB37DE">
        <w:rPr>
          <w:sz w:val="20"/>
          <w:szCs w:val="20"/>
        </w:rPr>
        <w:t>. The table compares ou</w:t>
      </w:r>
      <w:r w:rsidR="00EF0F66" w:rsidRPr="00EB37DE">
        <w:rPr>
          <w:sz w:val="20"/>
          <w:szCs w:val="20"/>
        </w:rPr>
        <w:t>r data to the Calderdale average figures:</w:t>
      </w:r>
    </w:p>
    <w:p w:rsidR="00EF0F66" w:rsidRPr="00EB37DE" w:rsidRDefault="00EF0F66" w:rsidP="004400F6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1295"/>
        <w:gridCol w:w="1296"/>
        <w:gridCol w:w="1296"/>
      </w:tblGrid>
      <w:tr w:rsidR="00EF0F66" w:rsidRPr="00EB37DE" w:rsidTr="00A30FD3">
        <w:tc>
          <w:tcPr>
            <w:tcW w:w="1897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Year 1 phonics screener</w:t>
            </w:r>
          </w:p>
        </w:tc>
        <w:tc>
          <w:tcPr>
            <w:tcW w:w="1295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1296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1296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</w:t>
            </w:r>
            <w:r w:rsidRPr="00EB37DE">
              <w:rPr>
                <w:sz w:val="20"/>
                <w:szCs w:val="20"/>
              </w:rPr>
              <w:t xml:space="preserve">* </w:t>
            </w:r>
          </w:p>
        </w:tc>
      </w:tr>
      <w:tr w:rsidR="00EF0F66" w:rsidRPr="00EB37DE" w:rsidTr="00A30FD3">
        <w:tc>
          <w:tcPr>
            <w:tcW w:w="1897" w:type="dxa"/>
            <w:shd w:val="clear" w:color="auto" w:fill="9CC2E5" w:themeFill="accent1" w:themeFillTint="99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1295" w:type="dxa"/>
            <w:shd w:val="clear" w:color="auto" w:fill="9CC2E5" w:themeFill="accent1" w:themeFillTint="99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88%</w:t>
            </w:r>
          </w:p>
        </w:tc>
        <w:tc>
          <w:tcPr>
            <w:tcW w:w="1296" w:type="dxa"/>
            <w:shd w:val="clear" w:color="auto" w:fill="9CC2E5" w:themeFill="accent1" w:themeFillTint="99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90%</w:t>
            </w:r>
          </w:p>
        </w:tc>
        <w:tc>
          <w:tcPr>
            <w:tcW w:w="1296" w:type="dxa"/>
            <w:shd w:val="clear" w:color="auto" w:fill="9CC2E5" w:themeFill="accent1" w:themeFillTint="99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F0F66" w:rsidRPr="00EB37DE" w:rsidTr="00A30FD3">
        <w:tc>
          <w:tcPr>
            <w:tcW w:w="1897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1295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82%</w:t>
            </w:r>
          </w:p>
        </w:tc>
        <w:tc>
          <w:tcPr>
            <w:tcW w:w="1296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83%</w:t>
            </w:r>
          </w:p>
        </w:tc>
        <w:tc>
          <w:tcPr>
            <w:tcW w:w="1296" w:type="dxa"/>
          </w:tcPr>
          <w:p w:rsidR="00EF0F66" w:rsidRPr="00EB37DE" w:rsidRDefault="00EF0F66" w:rsidP="00A30F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EF0F66" w:rsidRPr="00EB37DE" w:rsidRDefault="00EF0F66" w:rsidP="004400F6">
      <w:pPr>
        <w:pStyle w:val="ListParagraph"/>
        <w:rPr>
          <w:sz w:val="20"/>
          <w:szCs w:val="20"/>
        </w:rPr>
      </w:pPr>
    </w:p>
    <w:p w:rsidR="00EF0F66" w:rsidRPr="00EB37DE" w:rsidRDefault="00EF0F66" w:rsidP="00EB37DE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>*T</w:t>
      </w:r>
      <w:r w:rsidRPr="00EB37DE">
        <w:rPr>
          <w:sz w:val="20"/>
          <w:szCs w:val="20"/>
        </w:rPr>
        <w:t xml:space="preserve">here is no 2020 data available as </w:t>
      </w:r>
      <w:r w:rsidRPr="00EB37DE">
        <w:rPr>
          <w:sz w:val="20"/>
          <w:szCs w:val="20"/>
        </w:rPr>
        <w:t>year</w:t>
      </w:r>
      <w:r w:rsidR="00EB37DE" w:rsidRPr="00EB37DE">
        <w:rPr>
          <w:sz w:val="20"/>
          <w:szCs w:val="20"/>
        </w:rPr>
        <w:t xml:space="preserve"> 1</w:t>
      </w:r>
      <w:r w:rsidRPr="00EB37DE">
        <w:rPr>
          <w:sz w:val="20"/>
          <w:szCs w:val="20"/>
        </w:rPr>
        <w:t xml:space="preserve"> </w:t>
      </w:r>
      <w:r w:rsidRPr="00EB37DE">
        <w:rPr>
          <w:sz w:val="20"/>
          <w:szCs w:val="20"/>
        </w:rPr>
        <w:t>pupils did not take the screening test due to schoo</w:t>
      </w:r>
      <w:r w:rsidRPr="00EB37DE">
        <w:rPr>
          <w:sz w:val="20"/>
          <w:szCs w:val="20"/>
        </w:rPr>
        <w:t>l closure and national lockdown in March 2020</w:t>
      </w:r>
      <w:r w:rsidRPr="00EB37DE">
        <w:rPr>
          <w:sz w:val="20"/>
          <w:szCs w:val="20"/>
        </w:rPr>
        <w:t>. These pupils will take the phonics screener test in Autumn 2020 in their first term in year 2</w:t>
      </w:r>
      <w:r w:rsidRPr="00EB37DE">
        <w:rPr>
          <w:sz w:val="20"/>
          <w:szCs w:val="20"/>
        </w:rPr>
        <w:t xml:space="preserve"> – results will be added into the table when available</w:t>
      </w:r>
    </w:p>
    <w:p w:rsidR="00EB37DE" w:rsidRPr="00EB37DE" w:rsidRDefault="00EB37DE" w:rsidP="00EB37DE">
      <w:pPr>
        <w:pStyle w:val="ListParagraph"/>
        <w:rPr>
          <w:sz w:val="20"/>
          <w:szCs w:val="20"/>
        </w:rPr>
      </w:pPr>
    </w:p>
    <w:p w:rsidR="009725E4" w:rsidRPr="00EB37DE" w:rsidRDefault="009725E4" w:rsidP="00F34D6B">
      <w:pPr>
        <w:pStyle w:val="ListParagraph"/>
        <w:rPr>
          <w:b/>
          <w:sz w:val="20"/>
          <w:szCs w:val="20"/>
        </w:rPr>
      </w:pPr>
      <w:r w:rsidRPr="00EB37DE">
        <w:rPr>
          <w:b/>
          <w:sz w:val="20"/>
          <w:szCs w:val="20"/>
        </w:rPr>
        <w:t xml:space="preserve">KS1 </w:t>
      </w:r>
    </w:p>
    <w:p w:rsidR="009725E4" w:rsidRPr="00EB37DE" w:rsidRDefault="009725E4" w:rsidP="00F34D6B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>This table shows our trends over three years of the number of pupils who achieve</w:t>
      </w:r>
      <w:r w:rsidR="008E593D" w:rsidRPr="00EB37DE">
        <w:rPr>
          <w:sz w:val="20"/>
          <w:szCs w:val="20"/>
        </w:rPr>
        <w:t>d</w:t>
      </w:r>
      <w:r w:rsidRPr="00EB37DE">
        <w:rPr>
          <w:sz w:val="20"/>
          <w:szCs w:val="20"/>
        </w:rPr>
        <w:t xml:space="preserve"> </w:t>
      </w:r>
      <w:r w:rsidRPr="00EB37DE">
        <w:rPr>
          <w:b/>
          <w:sz w:val="20"/>
          <w:szCs w:val="20"/>
        </w:rPr>
        <w:t>the expected standard</w:t>
      </w:r>
      <w:r w:rsidR="008E593D" w:rsidRPr="00EB37DE">
        <w:rPr>
          <w:b/>
          <w:sz w:val="20"/>
          <w:szCs w:val="20"/>
        </w:rPr>
        <w:t xml:space="preserve"> (ES)</w:t>
      </w:r>
      <w:r w:rsidRPr="00EB37DE">
        <w:rPr>
          <w:b/>
          <w:sz w:val="20"/>
          <w:szCs w:val="20"/>
        </w:rPr>
        <w:t xml:space="preserve"> and greater depth</w:t>
      </w:r>
      <w:r w:rsidR="008E593D" w:rsidRPr="00EB37DE">
        <w:rPr>
          <w:b/>
          <w:sz w:val="20"/>
          <w:szCs w:val="20"/>
        </w:rPr>
        <w:t xml:space="preserve"> (GD)</w:t>
      </w:r>
      <w:r w:rsidRPr="00EB37DE">
        <w:rPr>
          <w:b/>
          <w:sz w:val="20"/>
          <w:szCs w:val="20"/>
        </w:rPr>
        <w:t xml:space="preserve"> </w:t>
      </w:r>
      <w:r w:rsidRPr="00EB37DE">
        <w:rPr>
          <w:sz w:val="20"/>
          <w:szCs w:val="20"/>
        </w:rPr>
        <w:t>at the end of year 2</w:t>
      </w:r>
      <w:r w:rsidR="00D95015" w:rsidRPr="00EB37DE">
        <w:rPr>
          <w:sz w:val="20"/>
          <w:szCs w:val="20"/>
        </w:rPr>
        <w:t>. The table</w:t>
      </w:r>
      <w:r w:rsidR="00EB37DE" w:rsidRPr="00EB37DE">
        <w:rPr>
          <w:sz w:val="20"/>
          <w:szCs w:val="20"/>
        </w:rPr>
        <w:t>s compare</w:t>
      </w:r>
      <w:r w:rsidR="00D95015" w:rsidRPr="00EB37DE">
        <w:rPr>
          <w:sz w:val="20"/>
          <w:szCs w:val="20"/>
        </w:rPr>
        <w:t xml:space="preserve"> our data to the Calderdale average figures:</w:t>
      </w:r>
    </w:p>
    <w:p w:rsidR="006357A9" w:rsidRPr="00EB37DE" w:rsidRDefault="006357A9" w:rsidP="00F34D6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622"/>
        <w:gridCol w:w="622"/>
        <w:gridCol w:w="722"/>
        <w:gridCol w:w="622"/>
        <w:gridCol w:w="622"/>
        <w:gridCol w:w="722"/>
        <w:gridCol w:w="622"/>
        <w:gridCol w:w="622"/>
        <w:gridCol w:w="722"/>
      </w:tblGrid>
      <w:tr w:rsidR="006357A9" w:rsidRPr="00EB37DE" w:rsidTr="00A30FD3">
        <w:tc>
          <w:tcPr>
            <w:tcW w:w="1897" w:type="dxa"/>
          </w:tcPr>
          <w:p w:rsidR="006357A9" w:rsidRPr="00EB37DE" w:rsidRDefault="00D95015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% at Expected standard</w:t>
            </w:r>
          </w:p>
        </w:tc>
        <w:tc>
          <w:tcPr>
            <w:tcW w:w="1295" w:type="dxa"/>
            <w:gridSpan w:val="3"/>
          </w:tcPr>
          <w:p w:rsidR="006357A9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Reading</w:t>
            </w:r>
          </w:p>
        </w:tc>
        <w:tc>
          <w:tcPr>
            <w:tcW w:w="1296" w:type="dxa"/>
            <w:gridSpan w:val="3"/>
          </w:tcPr>
          <w:p w:rsidR="006357A9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Writing</w:t>
            </w:r>
          </w:p>
        </w:tc>
        <w:tc>
          <w:tcPr>
            <w:tcW w:w="1296" w:type="dxa"/>
            <w:gridSpan w:val="3"/>
          </w:tcPr>
          <w:p w:rsidR="006357A9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Maths</w:t>
            </w:r>
          </w:p>
        </w:tc>
      </w:tr>
      <w:tr w:rsidR="00D95015" w:rsidRPr="00EB37DE" w:rsidTr="005A28B5">
        <w:tc>
          <w:tcPr>
            <w:tcW w:w="1897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KS1</w:t>
            </w:r>
          </w:p>
        </w:tc>
        <w:tc>
          <w:tcPr>
            <w:tcW w:w="431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</w:tr>
      <w:tr w:rsidR="00D95015" w:rsidRPr="00EB37DE" w:rsidTr="00D95015">
        <w:tc>
          <w:tcPr>
            <w:tcW w:w="1897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74%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76%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77%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86%</w:t>
            </w:r>
          </w:p>
        </w:tc>
      </w:tr>
      <w:tr w:rsidR="00D95015" w:rsidRPr="00EB37DE" w:rsidTr="00323C80">
        <w:tc>
          <w:tcPr>
            <w:tcW w:w="1897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431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75%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72%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71%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68%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64%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66%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77%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73%</w:t>
            </w:r>
          </w:p>
        </w:tc>
        <w:tc>
          <w:tcPr>
            <w:tcW w:w="432" w:type="dxa"/>
          </w:tcPr>
          <w:p w:rsidR="00D95015" w:rsidRPr="00EB37DE" w:rsidRDefault="00D95015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72%</w:t>
            </w:r>
          </w:p>
        </w:tc>
      </w:tr>
    </w:tbl>
    <w:p w:rsidR="006357A9" w:rsidRPr="00EB37DE" w:rsidRDefault="006357A9" w:rsidP="00F34D6B">
      <w:pPr>
        <w:pStyle w:val="ListParagraph"/>
        <w:rPr>
          <w:sz w:val="20"/>
          <w:szCs w:val="20"/>
        </w:rPr>
      </w:pPr>
    </w:p>
    <w:p w:rsidR="004400F6" w:rsidRPr="00EB37DE" w:rsidRDefault="004400F6" w:rsidP="00F34D6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622"/>
        <w:gridCol w:w="622"/>
        <w:gridCol w:w="722"/>
        <w:gridCol w:w="622"/>
        <w:gridCol w:w="622"/>
        <w:gridCol w:w="722"/>
        <w:gridCol w:w="622"/>
        <w:gridCol w:w="622"/>
        <w:gridCol w:w="722"/>
      </w:tblGrid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% at Greater Depth</w:t>
            </w:r>
          </w:p>
        </w:tc>
        <w:tc>
          <w:tcPr>
            <w:tcW w:w="1295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Reading</w:t>
            </w:r>
          </w:p>
        </w:tc>
        <w:tc>
          <w:tcPr>
            <w:tcW w:w="1296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Writing</w:t>
            </w:r>
          </w:p>
        </w:tc>
        <w:tc>
          <w:tcPr>
            <w:tcW w:w="1296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Maths</w:t>
            </w:r>
          </w:p>
        </w:tc>
      </w:tr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KS1</w:t>
            </w:r>
          </w:p>
        </w:tc>
        <w:tc>
          <w:tcPr>
            <w:tcW w:w="431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</w:tr>
      <w:tr w:rsidR="004400F6" w:rsidRPr="00EB37DE" w:rsidTr="00A30FD3">
        <w:tc>
          <w:tcPr>
            <w:tcW w:w="1897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27%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36%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23%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37%</w:t>
            </w:r>
          </w:p>
        </w:tc>
      </w:tr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431" w:type="dxa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21%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23%</w:t>
            </w:r>
          </w:p>
        </w:tc>
        <w:tc>
          <w:tcPr>
            <w:tcW w:w="432" w:type="dxa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11%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12%</w:t>
            </w:r>
          </w:p>
        </w:tc>
        <w:tc>
          <w:tcPr>
            <w:tcW w:w="432" w:type="dxa"/>
          </w:tcPr>
          <w:p w:rsidR="004400F6" w:rsidRPr="00EB37DE" w:rsidRDefault="00051D31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17%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18%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20%</w:t>
            </w:r>
          </w:p>
        </w:tc>
      </w:tr>
    </w:tbl>
    <w:p w:rsidR="004400F6" w:rsidRPr="00EB37DE" w:rsidRDefault="004400F6" w:rsidP="00F34D6B">
      <w:pPr>
        <w:pStyle w:val="ListParagraph"/>
        <w:rPr>
          <w:sz w:val="20"/>
          <w:szCs w:val="20"/>
        </w:rPr>
      </w:pPr>
    </w:p>
    <w:p w:rsidR="004400F6" w:rsidRPr="00EB37DE" w:rsidRDefault="004400F6" w:rsidP="00F34D6B">
      <w:pPr>
        <w:pStyle w:val="ListParagraph"/>
        <w:rPr>
          <w:sz w:val="20"/>
          <w:szCs w:val="20"/>
        </w:rPr>
      </w:pPr>
    </w:p>
    <w:p w:rsidR="00EB37DE" w:rsidRPr="00EB37DE" w:rsidRDefault="00D95015" w:rsidP="00EB37DE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>*</w:t>
      </w:r>
      <w:r w:rsidRPr="00EB37DE">
        <w:rPr>
          <w:sz w:val="20"/>
          <w:szCs w:val="20"/>
        </w:rPr>
        <w:t xml:space="preserve"> 2020 data </w:t>
      </w:r>
      <w:r w:rsidRPr="00EB37DE">
        <w:rPr>
          <w:sz w:val="20"/>
          <w:szCs w:val="20"/>
        </w:rPr>
        <w:t xml:space="preserve"> (based on robust teacher assessment prior to school closure in March </w:t>
      </w:r>
      <w:r w:rsidRPr="00EB37DE">
        <w:rPr>
          <w:sz w:val="20"/>
          <w:szCs w:val="20"/>
        </w:rPr>
        <w:t>submitted to local Authority is unval</w:t>
      </w:r>
      <w:r w:rsidRPr="00EB37DE">
        <w:rPr>
          <w:sz w:val="20"/>
          <w:szCs w:val="20"/>
        </w:rPr>
        <w:t xml:space="preserve">idated due to </w:t>
      </w:r>
      <w:r w:rsidR="00EB37DE">
        <w:rPr>
          <w:sz w:val="20"/>
          <w:szCs w:val="20"/>
        </w:rPr>
        <w:t xml:space="preserve"> national lockdown</w:t>
      </w:r>
    </w:p>
    <w:p w:rsidR="00E432AB" w:rsidRPr="00EB37DE" w:rsidRDefault="009725E4" w:rsidP="00E432AB">
      <w:pPr>
        <w:pStyle w:val="ListParagraph"/>
        <w:rPr>
          <w:b/>
          <w:sz w:val="20"/>
          <w:szCs w:val="20"/>
        </w:rPr>
      </w:pPr>
      <w:r w:rsidRPr="00EB37DE">
        <w:rPr>
          <w:b/>
          <w:sz w:val="20"/>
          <w:szCs w:val="20"/>
        </w:rPr>
        <w:lastRenderedPageBreak/>
        <w:t>KS2</w:t>
      </w:r>
    </w:p>
    <w:p w:rsidR="00D95015" w:rsidRPr="00EB37DE" w:rsidRDefault="00D95015" w:rsidP="00E432AB">
      <w:pPr>
        <w:pStyle w:val="ListParagraph"/>
        <w:rPr>
          <w:sz w:val="20"/>
          <w:szCs w:val="20"/>
        </w:rPr>
      </w:pPr>
    </w:p>
    <w:p w:rsidR="00D95015" w:rsidRPr="00EB37DE" w:rsidRDefault="00D95015" w:rsidP="00D95015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 xml:space="preserve">This table shows our trends over three years of the number of pupils who achieved </w:t>
      </w:r>
      <w:r w:rsidRPr="00EB37DE">
        <w:rPr>
          <w:b/>
          <w:sz w:val="20"/>
          <w:szCs w:val="20"/>
        </w:rPr>
        <w:t xml:space="preserve">the expected standard (ES) and greater depth (GD) </w:t>
      </w:r>
      <w:r w:rsidR="00DF6797" w:rsidRPr="00EB37DE">
        <w:rPr>
          <w:sz w:val="20"/>
          <w:szCs w:val="20"/>
        </w:rPr>
        <w:t>at the end of year 6</w:t>
      </w:r>
      <w:r w:rsidRPr="00EB37DE">
        <w:rPr>
          <w:sz w:val="20"/>
          <w:szCs w:val="20"/>
        </w:rPr>
        <w:t>. The table compares our data to the Calderdale average figures:</w:t>
      </w:r>
    </w:p>
    <w:p w:rsidR="00D95015" w:rsidRPr="00EB37DE" w:rsidRDefault="00D95015" w:rsidP="00E432A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622"/>
        <w:gridCol w:w="622"/>
        <w:gridCol w:w="722"/>
        <w:gridCol w:w="622"/>
        <w:gridCol w:w="622"/>
        <w:gridCol w:w="722"/>
        <w:gridCol w:w="622"/>
        <w:gridCol w:w="622"/>
        <w:gridCol w:w="722"/>
      </w:tblGrid>
      <w:tr w:rsidR="00DF6797" w:rsidRPr="00EB37DE" w:rsidTr="00A30FD3">
        <w:tc>
          <w:tcPr>
            <w:tcW w:w="1897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% at Expected standard</w:t>
            </w:r>
          </w:p>
        </w:tc>
        <w:tc>
          <w:tcPr>
            <w:tcW w:w="1295" w:type="dxa"/>
            <w:gridSpan w:val="3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Reading</w:t>
            </w:r>
          </w:p>
        </w:tc>
        <w:tc>
          <w:tcPr>
            <w:tcW w:w="1296" w:type="dxa"/>
            <w:gridSpan w:val="3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Writing</w:t>
            </w:r>
          </w:p>
        </w:tc>
        <w:tc>
          <w:tcPr>
            <w:tcW w:w="1296" w:type="dxa"/>
            <w:gridSpan w:val="3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Maths</w:t>
            </w:r>
          </w:p>
        </w:tc>
      </w:tr>
      <w:tr w:rsidR="00DF6797" w:rsidRPr="00EB37DE" w:rsidTr="00A30FD3">
        <w:tc>
          <w:tcPr>
            <w:tcW w:w="1897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KS2</w:t>
            </w:r>
          </w:p>
        </w:tc>
        <w:tc>
          <w:tcPr>
            <w:tcW w:w="431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</w:tr>
      <w:tr w:rsidR="00DF6797" w:rsidRPr="00EB37DE" w:rsidTr="00A30FD3">
        <w:tc>
          <w:tcPr>
            <w:tcW w:w="1897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79%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69%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93%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84%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84%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80%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88%</w:t>
            </w:r>
          </w:p>
        </w:tc>
      </w:tr>
      <w:tr w:rsidR="00DF6797" w:rsidRPr="00EB37DE" w:rsidTr="00A30FD3">
        <w:tc>
          <w:tcPr>
            <w:tcW w:w="1897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431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74%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75%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81%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74%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76%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74%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75%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79%</w:t>
            </w:r>
          </w:p>
        </w:tc>
        <w:tc>
          <w:tcPr>
            <w:tcW w:w="432" w:type="dxa"/>
          </w:tcPr>
          <w:p w:rsidR="00DF6797" w:rsidRPr="00EB37DE" w:rsidRDefault="00DF6797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80%</w:t>
            </w:r>
          </w:p>
        </w:tc>
      </w:tr>
    </w:tbl>
    <w:p w:rsidR="00DF6797" w:rsidRPr="00EB37DE" w:rsidRDefault="00DF6797" w:rsidP="004400F6">
      <w:pPr>
        <w:rPr>
          <w:sz w:val="20"/>
          <w:szCs w:val="20"/>
        </w:rPr>
      </w:pPr>
    </w:p>
    <w:p w:rsidR="00DF6797" w:rsidRPr="00EB37DE" w:rsidRDefault="00DF6797" w:rsidP="00E432AB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622"/>
        <w:gridCol w:w="622"/>
        <w:gridCol w:w="722"/>
        <w:gridCol w:w="622"/>
        <w:gridCol w:w="622"/>
        <w:gridCol w:w="722"/>
        <w:gridCol w:w="622"/>
        <w:gridCol w:w="622"/>
        <w:gridCol w:w="722"/>
      </w:tblGrid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% at Greater Depth</w:t>
            </w:r>
          </w:p>
        </w:tc>
        <w:tc>
          <w:tcPr>
            <w:tcW w:w="1295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Reading</w:t>
            </w:r>
          </w:p>
        </w:tc>
        <w:tc>
          <w:tcPr>
            <w:tcW w:w="1296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Writing</w:t>
            </w:r>
          </w:p>
        </w:tc>
        <w:tc>
          <w:tcPr>
            <w:tcW w:w="1296" w:type="dxa"/>
            <w:gridSpan w:val="3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Maths</w:t>
            </w:r>
          </w:p>
        </w:tc>
      </w:tr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EB37DE">
              <w:rPr>
                <w:b/>
                <w:sz w:val="20"/>
                <w:szCs w:val="20"/>
              </w:rPr>
              <w:t>KS2</w:t>
            </w:r>
          </w:p>
        </w:tc>
        <w:tc>
          <w:tcPr>
            <w:tcW w:w="431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2018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2019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2020*</w:t>
            </w:r>
          </w:p>
        </w:tc>
      </w:tr>
      <w:tr w:rsidR="004400F6" w:rsidRPr="00EB37DE" w:rsidTr="00A30FD3">
        <w:tc>
          <w:tcPr>
            <w:tcW w:w="1897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Northowram Primary School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31%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15%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46%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7%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8%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24%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37%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16%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34%</w:t>
            </w:r>
          </w:p>
        </w:tc>
      </w:tr>
      <w:tr w:rsidR="004400F6" w:rsidRPr="00EB37DE" w:rsidTr="00A30FD3">
        <w:tc>
          <w:tcPr>
            <w:tcW w:w="1897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 xml:space="preserve">Calderdale </w:t>
            </w:r>
          </w:p>
        </w:tc>
        <w:tc>
          <w:tcPr>
            <w:tcW w:w="431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26%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27%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29</w:t>
            </w:r>
            <w:r w:rsidRPr="00EB37DE">
              <w:rPr>
                <w:sz w:val="20"/>
                <w:szCs w:val="20"/>
              </w:rPr>
              <w:t>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12%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13%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14</w:t>
            </w:r>
            <w:r w:rsidRPr="00EB37DE">
              <w:rPr>
                <w:sz w:val="20"/>
                <w:szCs w:val="20"/>
              </w:rPr>
              <w:t>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23%</w:t>
            </w:r>
          </w:p>
        </w:tc>
        <w:tc>
          <w:tcPr>
            <w:tcW w:w="432" w:type="dxa"/>
          </w:tcPr>
          <w:p w:rsidR="004400F6" w:rsidRPr="00EB37DE" w:rsidRDefault="00CD479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26%</w:t>
            </w:r>
          </w:p>
        </w:tc>
        <w:tc>
          <w:tcPr>
            <w:tcW w:w="432" w:type="dxa"/>
          </w:tcPr>
          <w:p w:rsidR="004400F6" w:rsidRPr="00EB37DE" w:rsidRDefault="004400F6" w:rsidP="00A30FD3">
            <w:pPr>
              <w:pStyle w:val="ListParagraph"/>
              <w:ind w:left="0"/>
              <w:rPr>
                <w:sz w:val="20"/>
                <w:szCs w:val="20"/>
              </w:rPr>
            </w:pPr>
            <w:r w:rsidRPr="00EB37DE">
              <w:rPr>
                <w:sz w:val="20"/>
                <w:szCs w:val="20"/>
              </w:rPr>
              <w:t>24%</w:t>
            </w:r>
          </w:p>
        </w:tc>
      </w:tr>
    </w:tbl>
    <w:p w:rsidR="00DF6797" w:rsidRPr="00EB37DE" w:rsidRDefault="00DF6797" w:rsidP="00E432AB">
      <w:pPr>
        <w:pStyle w:val="ListParagraph"/>
        <w:rPr>
          <w:sz w:val="20"/>
          <w:szCs w:val="20"/>
        </w:rPr>
      </w:pPr>
    </w:p>
    <w:p w:rsidR="00DF6797" w:rsidRPr="00EB37DE" w:rsidRDefault="00DF6797" w:rsidP="00EB37DE">
      <w:pPr>
        <w:rPr>
          <w:sz w:val="20"/>
          <w:szCs w:val="20"/>
        </w:rPr>
      </w:pPr>
      <w:bookmarkStart w:id="0" w:name="_GoBack"/>
      <w:bookmarkEnd w:id="0"/>
    </w:p>
    <w:p w:rsidR="009725E4" w:rsidRPr="00EB37DE" w:rsidRDefault="009725E4" w:rsidP="009725E4">
      <w:pPr>
        <w:pStyle w:val="ListParagraph"/>
        <w:rPr>
          <w:sz w:val="20"/>
          <w:szCs w:val="20"/>
        </w:rPr>
      </w:pPr>
      <w:r w:rsidRPr="00EB37DE">
        <w:rPr>
          <w:sz w:val="20"/>
          <w:szCs w:val="20"/>
        </w:rPr>
        <w:t xml:space="preserve">*please note that data for year 6 pupils (KS2) 2020 submitted to local authority is based on robust teacher assessment </w:t>
      </w:r>
      <w:r w:rsidR="00DF6797" w:rsidRPr="00EB37DE">
        <w:rPr>
          <w:sz w:val="20"/>
          <w:szCs w:val="20"/>
        </w:rPr>
        <w:t>and mock SATS taken prior to school closure in March.</w:t>
      </w:r>
    </w:p>
    <w:p w:rsidR="009725E4" w:rsidRPr="00EB37DE" w:rsidRDefault="009725E4" w:rsidP="00E432AB">
      <w:pPr>
        <w:pStyle w:val="ListParagraph"/>
        <w:rPr>
          <w:sz w:val="20"/>
          <w:szCs w:val="20"/>
        </w:rPr>
      </w:pPr>
    </w:p>
    <w:p w:rsidR="00A02F13" w:rsidRPr="00EB37DE" w:rsidRDefault="00A02F13" w:rsidP="00AC00E8">
      <w:pPr>
        <w:rPr>
          <w:sz w:val="20"/>
          <w:szCs w:val="20"/>
        </w:rPr>
      </w:pPr>
    </w:p>
    <w:p w:rsidR="00A02F13" w:rsidRPr="00EB37DE" w:rsidRDefault="00A02F13" w:rsidP="00AC00E8">
      <w:pPr>
        <w:rPr>
          <w:sz w:val="20"/>
          <w:szCs w:val="20"/>
        </w:rPr>
      </w:pPr>
    </w:p>
    <w:sectPr w:rsidR="00A02F13" w:rsidRPr="00EB37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F3" w:rsidRDefault="00AD24F3" w:rsidP="00EB37DE">
      <w:pPr>
        <w:spacing w:after="0" w:line="240" w:lineRule="auto"/>
      </w:pPr>
      <w:r>
        <w:separator/>
      </w:r>
    </w:p>
  </w:endnote>
  <w:endnote w:type="continuationSeparator" w:id="0">
    <w:p w:rsidR="00AD24F3" w:rsidRDefault="00AD24F3" w:rsidP="00EB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308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7DE" w:rsidRDefault="00EB37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37DE" w:rsidRDefault="00EB3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F3" w:rsidRDefault="00AD24F3" w:rsidP="00EB37DE">
      <w:pPr>
        <w:spacing w:after="0" w:line="240" w:lineRule="auto"/>
      </w:pPr>
      <w:r>
        <w:separator/>
      </w:r>
    </w:p>
  </w:footnote>
  <w:footnote w:type="continuationSeparator" w:id="0">
    <w:p w:rsidR="00AD24F3" w:rsidRDefault="00AD24F3" w:rsidP="00EB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7FA1"/>
    <w:multiLevelType w:val="hybridMultilevel"/>
    <w:tmpl w:val="DA86037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A3B07"/>
    <w:multiLevelType w:val="hybridMultilevel"/>
    <w:tmpl w:val="C148A0BC"/>
    <w:lvl w:ilvl="0" w:tplc="6226C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80331"/>
    <w:multiLevelType w:val="hybridMultilevel"/>
    <w:tmpl w:val="22A466D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0FA"/>
    <w:multiLevelType w:val="hybridMultilevel"/>
    <w:tmpl w:val="D6CA8AB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34AA"/>
    <w:multiLevelType w:val="hybridMultilevel"/>
    <w:tmpl w:val="44D2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43F53"/>
    <w:multiLevelType w:val="hybridMultilevel"/>
    <w:tmpl w:val="362A67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E020C5"/>
    <w:multiLevelType w:val="hybridMultilevel"/>
    <w:tmpl w:val="241E1AC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E8"/>
    <w:rsid w:val="00046E15"/>
    <w:rsid w:val="00051D31"/>
    <w:rsid w:val="00096871"/>
    <w:rsid w:val="00154831"/>
    <w:rsid w:val="00257EEC"/>
    <w:rsid w:val="002F398B"/>
    <w:rsid w:val="004400F6"/>
    <w:rsid w:val="004700E1"/>
    <w:rsid w:val="0054141E"/>
    <w:rsid w:val="006357A9"/>
    <w:rsid w:val="007021C9"/>
    <w:rsid w:val="00703E91"/>
    <w:rsid w:val="007A5EBD"/>
    <w:rsid w:val="00832F87"/>
    <w:rsid w:val="008E593D"/>
    <w:rsid w:val="009725E4"/>
    <w:rsid w:val="009907DE"/>
    <w:rsid w:val="009E68FF"/>
    <w:rsid w:val="00A02F13"/>
    <w:rsid w:val="00A9724B"/>
    <w:rsid w:val="00AC00E8"/>
    <w:rsid w:val="00AD24F3"/>
    <w:rsid w:val="00C0753A"/>
    <w:rsid w:val="00CD4796"/>
    <w:rsid w:val="00D52499"/>
    <w:rsid w:val="00D95015"/>
    <w:rsid w:val="00DF6797"/>
    <w:rsid w:val="00E432AB"/>
    <w:rsid w:val="00EA285C"/>
    <w:rsid w:val="00EB37DE"/>
    <w:rsid w:val="00EF0F66"/>
    <w:rsid w:val="00F34D6B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70124-369A-4EBC-8F2D-B7557A2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DE"/>
  </w:style>
  <w:style w:type="paragraph" w:styleId="Footer">
    <w:name w:val="footer"/>
    <w:basedOn w:val="Normal"/>
    <w:link w:val="FooterChar"/>
    <w:uiPriority w:val="99"/>
    <w:unhideWhenUsed/>
    <w:rsid w:val="00EB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jscardifield</dc:creator>
  <cp:keywords/>
  <dc:description/>
  <cp:lastModifiedBy>jscardifield</cp:lastModifiedBy>
  <cp:revision>2</cp:revision>
  <cp:lastPrinted>2020-11-12T13:06:00Z</cp:lastPrinted>
  <dcterms:created xsi:type="dcterms:W3CDTF">2020-11-16T10:53:00Z</dcterms:created>
  <dcterms:modified xsi:type="dcterms:W3CDTF">2020-11-16T10:53:00Z</dcterms:modified>
</cp:coreProperties>
</file>